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广西警察学院五合校区污水处理站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运维服务合同</w:t>
      </w: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合同编号：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采购单位（甲方）：广西警察学院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供应商（乙方）：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签订地点： 广西南宁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签订时间：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根据《中华人民共和国政府采购法》、《中华人民共和国合同法》等法律、法规规定，经双方充分协商并达成一致后，甲乙双方自愿签订本合同。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服务内容：五合校区污水处理站运维服务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服务期限：1年。自   年   月  日至    年  月  日止。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污水处理设施运营管理要求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1、污水处理设施正常运行。执行《中华人民共和国水污染防治法》的相关法律法规要求，确保污水处理后出水指标达到《城镇污水处理厂污染物排放标准》（GB18918-2002）的一级B标准。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2、确保设施常年正常运转，并定期对设备进行检修保养，确保处理设施无堵塞、渗漏、开裂、破损等情况发生，保持池体及周边绿化带内无杂物堆放，做到池体整洁美观。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3、对于有动力处理设施的，要保证水泵及配电设施运行良好，无漏电、跳闸、异常等现象发生。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4、建立并完善污水管网的巡查制度和应急处理预案，一旦发现污水管网破损或堵塞，要立即报修，保证管网的完好通畅。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5、承担设施设备运行维护管理安全责任，严格操作规程，加强对操作人员的安全教育，定期检查设施的运行维护及设备运转情况，及时纠正、排除安全隐患，保证运行维护做到安全、规范、优质、高效。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6、污泥的处置规范。妥善处理污泥及恶臭，避免二次污染事故的发生。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5、应建立运行管理台账，内容包括设施运转情况、设备维护情况、生态养护情况和进出水水质水量情况等，每季度要有运营管护总结和水质监测报告并定期上报。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运行过程中，发生重大基础设施损毁（如设备被偷盗或人为破坏、管网被人为损坏等情况）或重要设备故障的，运营方应及时向业主单位汇报，如果是运营方责任的由运营方负责恢复和维修，所产生费用全部由运营方承担；非运营方责任的，由运营方负责向业主单位提交相关技术说明，并形成恢复和维修工作方案及预算上报业主单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7.负责项目区域内的环境卫生，治安秩序，值班、设备运行巡视等。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 委托运行维护管理范围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污水处理项目所有处理设施的管理维护及正常运行，包括一体化泵站、一体化污水提升泵站、过滤器、缺氧罐、好氧罐、硝化液回流泵、初沉池、污泥回流泵、集水池、ACM供料泵、ACM配水器、ACM生化反应器、斜板沉淀池、污泥回流泵、污泥罐、污泥外运泵、罗茨风机、紫外消毒器、巴氏计量渠、加药罐、加药泵等（详见附表）。污水管线、机房、围栏、绿化草皮、宣传牌、标志标识、安全警示牌等附属设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2.污水处理工程的所有收集管网的保管及正常运行维护，包括污水收集管网及污水收集有关沟渠的维修、疏通，管道沉沙井、检查井及盖板的清理、维护管理等。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3.污水处理工程的所有供电、电气设备、机械设备的管理维护及正常运行，包括电缆线、电控柜、风机、水泵、曝气器、填料、斜管等。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 运营方职责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运营方应负责污水处理所有设施的管理维护工作。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运营方应对管理人员按照《操作规程》进行培训（接受设备出租方的培训），合格后上岗，保证按规定进行维护管理。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3、运营方应依法保护污水处理工程及其设施，维护工程设施的正常运行。负责各项设施的日常维修、养护，全力搞好污水处理工作。具体内容如下：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1）保证各设施、设备的完整。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2）定期对检查井、沉沙井、沟渠、格网井、调节池、二沉池或淤泥池清淤清查。每周2次以上。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3）定期检查维护水泵、鼓风机等电机设备，确保污水处理设施正常运行，要有管理维护记录。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4）定期对污水收集管网、沟渠进行巡视，检查管网是否破损，盖板是否完整，对检查井、沟渠清淤清渣，及时对损坏管网等设施进行报修，保证污水收集畅通。如发生人为破坏应及时向委托方报告。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5）在发生设备事故、故障时，及时向委托方汇报，按相关规程进行事故、故障的处理，以确保人身、设备的安全，保证不发生污染事件。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6）负责对外的一般接待、检查工作、协助委托方做好处理设施与其他部门之间的关系处理。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7）根据实际情况，要求及时对蓄水池进行清淤。保证不因泥沙淤积造成水泵堵塞。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 运营成本的构成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运行成本主要由污水处理设施运行电费、人工费、设备维护费、淤泥垃圾处理清运费、交通费、水质检测费、办公及化验室租赁费、管理费、污水收集管网维护费的建立与维护经费等所有运营管理产生的费用，费用实行包干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 项目预算金额：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 结算方式：运维服务费按季度支付，每季度支付总运维费用的四分之一直至一年服务期结束。甲方在转每笔费用之前，乙方需提前15个工作日内开具相应金额的发票交给甲方；否则，甲方有权拒绝付费且不承担任何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第九条</w:t>
      </w:r>
      <w:r>
        <w:rPr>
          <w:rFonts w:hint="eastAsia"/>
          <w:sz w:val="28"/>
          <w:szCs w:val="28"/>
        </w:rPr>
        <w:t>　税费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本合同执行中相关的一切税费均由乙方承担。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第十条</w:t>
      </w:r>
      <w:r>
        <w:rPr>
          <w:rFonts w:hint="eastAsia"/>
          <w:color w:val="FF0000"/>
          <w:sz w:val="28"/>
          <w:szCs w:val="28"/>
        </w:rPr>
        <w:t>　违约责任</w:t>
      </w:r>
    </w:p>
    <w:p>
      <w:pPr>
        <w:ind w:firstLine="560" w:firstLineChars="2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乙方必须安全生产，文明操作，因乙方操作不规范或者违反运营方职责出现环保污染事故的，由乙方负责，造成甲方损失的，要等价赔偿。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 不可抗力事件处理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1.在合同有效期内，任何一方因不可抗力事件导致不能履行合同，则合同履行期可延长，其延长期与不可抗力影响期相同。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2.不可抗力事件发生后，应立即通知对方，并寄送有关权威机构出具的证明。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3.不可抗力事件延续一百二十天以上，双方应通过友好协商，确定是否继续履行合同。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第十二条</w:t>
      </w:r>
      <w:r>
        <w:rPr>
          <w:rFonts w:hint="eastAsia"/>
          <w:sz w:val="28"/>
          <w:szCs w:val="28"/>
        </w:rPr>
        <w:t xml:space="preserve">  合同争议解决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1.因履行本合同引起的或与本合同有关的争议，甲乙双方应首先通过友好协商解决，如果协商不能解决，可向甲方所在地的人民法院提起诉讼。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2.诉讼期间，本合同继续履行。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第十三条</w:t>
      </w:r>
      <w:r>
        <w:rPr>
          <w:rFonts w:hint="eastAsia"/>
          <w:sz w:val="28"/>
          <w:szCs w:val="28"/>
        </w:rPr>
        <w:t xml:space="preserve">  合同生效及其它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1.合同经双方法定代表人或授权代表签字并加盖单位公章后生效。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2.本合同未尽事宜，遵照《合同法》有关条文执行。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第十四条</w:t>
      </w:r>
      <w:r>
        <w:rPr>
          <w:rFonts w:hint="eastAsia"/>
          <w:sz w:val="28"/>
          <w:szCs w:val="28"/>
        </w:rPr>
        <w:t xml:space="preserve">  合同的变更、终止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1.除《中华人民共和国政府采购法》第五十条规定的情形外，本合同一经签订，甲乙双方不得擅自变更、中止或终止。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2.乙方不得擅自转让其应履行的合同义务。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3.合同执行中涉及采购资金和采购内容修改或补充的，须经财政部门审批，并签书面补充协议报财政部门备案，方可作为主合同不可分割的一部分。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第十五条</w:t>
      </w:r>
      <w:r>
        <w:rPr>
          <w:rFonts w:hint="eastAsia"/>
          <w:sz w:val="28"/>
          <w:szCs w:val="28"/>
        </w:rPr>
        <w:t xml:space="preserve">  签订本合同依据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中标或成交通知书。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第十六条</w:t>
      </w:r>
      <w:r>
        <w:rPr>
          <w:rFonts w:hint="eastAsia"/>
          <w:sz w:val="28"/>
          <w:szCs w:val="28"/>
        </w:rPr>
        <w:t xml:space="preserve">  其他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1.合同未尽事宜由甲乙双方共同协商确定，补充合同具有相同的法律效力。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2.本合同一式四份，具有同等法律效力，甲乙双方各二份。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（以下无正文）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甲方（单位公章）                  乙方（单位公章）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        法定代表人（签字或盖章）：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单位地址：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委托代理人：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开户银行：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账号：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邮政编码：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6246"/>
    <w:multiLevelType w:val="multilevel"/>
    <w:tmpl w:val="4EFF6246"/>
    <w:lvl w:ilvl="0" w:tentative="0">
      <w:start w:val="1"/>
      <w:numFmt w:val="japaneseCounting"/>
      <w:lvlText w:val="第%1条"/>
      <w:lvlJc w:val="left"/>
      <w:pPr>
        <w:ind w:left="1125" w:hanging="112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23"/>
    <w:rsid w:val="00246E64"/>
    <w:rsid w:val="00337B5D"/>
    <w:rsid w:val="004D1123"/>
    <w:rsid w:val="00765DAE"/>
    <w:rsid w:val="00BD0E6A"/>
    <w:rsid w:val="00D97977"/>
    <w:rsid w:val="00DF345C"/>
    <w:rsid w:val="00E47DD8"/>
    <w:rsid w:val="095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462</Words>
  <Characters>2636</Characters>
  <Lines>21</Lines>
  <Paragraphs>6</Paragraphs>
  <TotalTime>65</TotalTime>
  <ScaleCrop>false</ScaleCrop>
  <LinksUpToDate>false</LinksUpToDate>
  <CharactersWithSpaces>3092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2020-07-20T02:05:00Z</dcterms:created>
  <dc:creator>侯凡雄</dc:creator>
  <cp:lastModifiedBy>何江涛</cp:lastModifiedBy>
  <dcterms:modified xsi:type="dcterms:W3CDTF">2020-07-20T05:06:36Z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